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6520858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F93B95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</w:rPr>
        <w:t>Адлер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  Гостевой дом  «Лина »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</w:p>
    <w:p w:rsidR="00F25B20" w:rsidRPr="00F25B20" w:rsidRDefault="00F25B20" w:rsidP="00F25B20">
      <w:pPr>
        <w:widowControl w:val="0"/>
        <w:tabs>
          <w:tab w:val="left" w:pos="555"/>
        </w:tabs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</w:rPr>
        <w:tab/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В самой южной точке курорта Сочи расположен известный курорт Адлер. Он поражает воображение яркостью красок и своей теплотой. Еще одним его достоинством является удобное месторасположение, из Адлера можно посетить Сочи, Красную Поляну.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Расположение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:                  5-7 мин. до моря.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Пляж: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Галечный.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2-х, 3-х, 4-х, местные номера с удобствами (Душ, Туалет, Умывальник, ТВ,  Холодильник, Кондиционер.)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Питание: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территории есть кухня для самостоятельного приготовления пищи.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На территории мангальная зона, столики для отдыха, </w:t>
      </w:r>
      <w:r w:rsidRPr="00F25B20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>каркасный бассейн для детей, и детская площадка.,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в поселке кафе, бары, магазины, рынок, дельфинарий, океанариум,  аквапарк.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Расчетный час :</w:t>
      </w:r>
      <w:r w:rsidRPr="00F25B20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               Вы</w:t>
      </w:r>
      <w:r w:rsidR="00F93B95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>селение 8-00, заселение после 14</w:t>
      </w:r>
      <w:r w:rsidRPr="00F25B20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>-00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:        Проезд, проживание, страховка на время пути, услуги  сопровождающего.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:                              На комфортабельном автобусе, телевизор.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</w:rPr>
        <w:t xml:space="preserve"> Дети до 3-ти лет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:             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Оплачивае</w:t>
      </w:r>
      <w:r w:rsidR="00F93B95">
        <w:rPr>
          <w:rFonts w:ascii="Times New Roman" w:eastAsia="Lucida Sans Unicode" w:hAnsi="Times New Roman"/>
          <w:kern w:val="1"/>
          <w:sz w:val="24"/>
          <w:szCs w:val="24"/>
        </w:rPr>
        <w:t xml:space="preserve">тся  проезд </w:t>
      </w:r>
      <w:bookmarkStart w:id="0" w:name="_GoBack"/>
      <w:bookmarkEnd w:id="0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– 95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00 руб., 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если ребенок  проживает на одном месте с родителями.</w:t>
      </w:r>
    </w:p>
    <w:p w:rsidR="00F25B20" w:rsidRPr="00F25B20" w:rsidRDefault="00F25B20" w:rsidP="00F25B20">
      <w:pPr>
        <w:widowControl w:val="0"/>
        <w:tabs>
          <w:tab w:val="left" w:pos="3600"/>
          <w:tab w:val="left" w:pos="3780"/>
          <w:tab w:val="left" w:pos="3960"/>
        </w:tabs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</w:p>
    <w:p w:rsidR="00F25B20" w:rsidRPr="00F25B20" w:rsidRDefault="00F25B20" w:rsidP="00F25B20">
      <w:pPr>
        <w:keepNext/>
        <w:tabs>
          <w:tab w:val="left" w:pos="3600"/>
          <w:tab w:val="left" w:pos="3780"/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Стоимость тура на 1 человека ( руб.\заезд)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F25B20">
        <w:rPr>
          <w:rFonts w:ascii="Arial" w:eastAsia="Lucida Sans Unicode" w:hAnsi="Arial"/>
          <w:kern w:val="1"/>
          <w:sz w:val="20"/>
          <w:szCs w:val="24"/>
          <w:lang w:eastAsia="ru-RU"/>
        </w:rPr>
        <w:t xml:space="preserve">                                                                  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Проживание – 7 ночей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  <w:gridCol w:w="2693"/>
        <w:gridCol w:w="2977"/>
      </w:tblGrid>
      <w:tr w:rsidR="00F25B20" w:rsidRPr="00F25B20" w:rsidTr="00382401">
        <w:trPr>
          <w:cantSplit/>
          <w:trHeight w:val="737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Лето 2025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 х местные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3-х местные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ind w:left="601" w:hanging="601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4-х местные</w:t>
            </w:r>
          </w:p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ind w:left="601" w:hanging="601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02.06 – 11.06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15900</w:t>
            </w:r>
          </w:p>
        </w:tc>
      </w:tr>
      <w:tr w:rsidR="006F3325" w:rsidRPr="00F25B20" w:rsidTr="00382401">
        <w:trPr>
          <w:trHeight w:val="234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09.06 – 18.06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20900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18000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18300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16.06 – 25.06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23300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19700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23.06 – 02.07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24700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</w:tr>
      <w:tr w:rsidR="006F3325" w:rsidRPr="00F25B20" w:rsidTr="00382401">
        <w:trPr>
          <w:trHeight w:val="234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30.06 – 09.07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20900</w:t>
            </w:r>
          </w:p>
        </w:tc>
      </w:tr>
      <w:tr w:rsidR="006F3325" w:rsidRPr="00F25B20" w:rsidTr="00382401">
        <w:trPr>
          <w:trHeight w:val="70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07.07 – 16.07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23700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21900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14.07 – 23.07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34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21.07 – 30.07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28.07 – 06.08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04.08 – 13.08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11.08 - 20.08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18.08 – 27.08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25.08 – 03.09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24700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01.09 – 10.09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24700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08.09 – 17.09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25500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15.09 – 24.09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25500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977" w:type="dxa"/>
          </w:tcPr>
          <w:p w:rsidR="006F3325" w:rsidRPr="006F3325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trike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20900</w:t>
            </w:r>
          </w:p>
        </w:tc>
      </w:tr>
    </w:tbl>
    <w:p w:rsidR="00F25B20" w:rsidRPr="00F25B20" w:rsidRDefault="00F25B20" w:rsidP="00F25B20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right="360"/>
        <w:rPr>
          <w:rFonts w:ascii="Times New Roman" w:eastAsia="Lucida Sans Unicode" w:hAnsi="Times New Roman"/>
          <w:b/>
          <w:kern w:val="1"/>
          <w:sz w:val="28"/>
          <w:szCs w:val="28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6F3325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25B20"/>
    <w:rsid w:val="00F93B95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5754-7B29-4571-A0A5-26A78913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2025-03-13T14:02:00Z</cp:lastPrinted>
  <dcterms:created xsi:type="dcterms:W3CDTF">2025-02-21T13:06:00Z</dcterms:created>
  <dcterms:modified xsi:type="dcterms:W3CDTF">2025-08-12T13:21:00Z</dcterms:modified>
</cp:coreProperties>
</file>